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5CB" w:rsidRDefault="0021324A" w:rsidP="0021324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</w:t>
      </w:r>
      <w:r w:rsidRPr="0021324A">
        <w:rPr>
          <w:rFonts w:ascii="Arial" w:hAnsi="Arial" w:cs="Arial"/>
          <w:sz w:val="20"/>
          <w:szCs w:val="20"/>
          <w:lang w:val="en-GB"/>
        </w:rPr>
        <w:t>able 1: The pros and cons of neuroscientific methods for design stud</w:t>
      </w:r>
      <w:r w:rsidRPr="0021324A">
        <w:rPr>
          <w:rFonts w:ascii="Arial" w:hAnsi="Arial" w:cs="Arial"/>
          <w:sz w:val="20"/>
          <w:szCs w:val="20"/>
          <w:lang w:val="en-GB"/>
        </w:rPr>
        <w:t>ies.</w:t>
      </w:r>
    </w:p>
    <w:tbl>
      <w:tblPr>
        <w:tblStyle w:val="TableGrid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10"/>
        <w:gridCol w:w="2694"/>
        <w:gridCol w:w="2551"/>
        <w:gridCol w:w="2268"/>
        <w:gridCol w:w="2977"/>
        <w:gridCol w:w="2693"/>
      </w:tblGrid>
      <w:tr w:rsidR="0021324A" w:rsidRPr="007056D6" w:rsidTr="0021324A">
        <w:trPr>
          <w:trHeight w:val="731"/>
        </w:trPr>
        <w:tc>
          <w:tcPr>
            <w:tcW w:w="2410" w:type="dxa"/>
          </w:tcPr>
          <w:p w:rsidR="0021324A" w:rsidRPr="007056D6" w:rsidRDefault="0021324A" w:rsidP="00710F5F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056D6">
              <w:rPr>
                <w:rFonts w:ascii="Arial" w:hAnsi="Arial" w:cs="Arial"/>
                <w:b/>
                <w:sz w:val="20"/>
                <w:szCs w:val="20"/>
                <w:lang w:val="en-GB"/>
              </w:rPr>
              <w:t>Neuroscientific method</w:t>
            </w:r>
          </w:p>
        </w:tc>
        <w:tc>
          <w:tcPr>
            <w:tcW w:w="2694" w:type="dxa"/>
          </w:tcPr>
          <w:p w:rsidR="0021324A" w:rsidRPr="007056D6" w:rsidRDefault="0021324A" w:rsidP="00710F5F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6D6">
              <w:rPr>
                <w:rFonts w:ascii="Arial" w:hAnsi="Arial" w:cs="Arial"/>
                <w:b/>
                <w:sz w:val="20"/>
                <w:szCs w:val="20"/>
                <w:lang w:val="en-US"/>
              </w:rPr>
              <w:t>Parameters measured with this method</w:t>
            </w:r>
          </w:p>
        </w:tc>
        <w:tc>
          <w:tcPr>
            <w:tcW w:w="2551" w:type="dxa"/>
          </w:tcPr>
          <w:p w:rsidR="0021324A" w:rsidRPr="007056D6" w:rsidRDefault="0021324A" w:rsidP="00710F5F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6D6">
              <w:rPr>
                <w:rFonts w:ascii="Arial" w:hAnsi="Arial" w:cs="Arial"/>
                <w:b/>
                <w:sz w:val="20"/>
                <w:szCs w:val="20"/>
                <w:lang w:val="en-US"/>
              </w:rPr>
              <w:t>Temporal resolution (accuracy in time)</w:t>
            </w:r>
          </w:p>
        </w:tc>
        <w:tc>
          <w:tcPr>
            <w:tcW w:w="2268" w:type="dxa"/>
          </w:tcPr>
          <w:p w:rsidR="0021324A" w:rsidRPr="007056D6" w:rsidRDefault="0021324A" w:rsidP="00710F5F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6D6">
              <w:rPr>
                <w:rFonts w:ascii="Arial" w:hAnsi="Arial" w:cs="Arial"/>
                <w:b/>
                <w:sz w:val="20"/>
                <w:szCs w:val="20"/>
                <w:lang w:val="en-US"/>
              </w:rPr>
              <w:t>Spatial resolution (accuracy of locating active brain areas)</w:t>
            </w:r>
          </w:p>
        </w:tc>
        <w:tc>
          <w:tcPr>
            <w:tcW w:w="2977" w:type="dxa"/>
          </w:tcPr>
          <w:p w:rsidR="0021324A" w:rsidRPr="007056D6" w:rsidRDefault="0021324A" w:rsidP="00710F5F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6D6">
              <w:rPr>
                <w:rFonts w:ascii="Arial" w:hAnsi="Arial" w:cs="Arial"/>
                <w:b/>
                <w:sz w:val="20"/>
                <w:szCs w:val="20"/>
                <w:lang w:val="en-US"/>
              </w:rPr>
              <w:t>Pros for design studies</w:t>
            </w:r>
          </w:p>
        </w:tc>
        <w:tc>
          <w:tcPr>
            <w:tcW w:w="2693" w:type="dxa"/>
          </w:tcPr>
          <w:p w:rsidR="0021324A" w:rsidRPr="007056D6" w:rsidRDefault="0021324A" w:rsidP="00710F5F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6D6">
              <w:rPr>
                <w:rFonts w:ascii="Arial" w:hAnsi="Arial" w:cs="Arial"/>
                <w:b/>
                <w:sz w:val="20"/>
                <w:szCs w:val="20"/>
                <w:lang w:val="en-US"/>
              </w:rPr>
              <w:t>Cons for design studies</w:t>
            </w:r>
          </w:p>
        </w:tc>
      </w:tr>
      <w:tr w:rsidR="0021324A" w:rsidRPr="00950A97" w:rsidTr="0021324A">
        <w:trPr>
          <w:trHeight w:val="1375"/>
        </w:trPr>
        <w:tc>
          <w:tcPr>
            <w:tcW w:w="2410" w:type="dxa"/>
          </w:tcPr>
          <w:p w:rsidR="0021324A" w:rsidRDefault="0021324A" w:rsidP="00710F5F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t>fMRI</w:t>
            </w:r>
          </w:p>
          <w:p w:rsidR="0021324A" w:rsidRPr="00950A97" w:rsidRDefault="0021324A" w:rsidP="00710F5F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t>(functional magnetic resonance imaging)</w:t>
            </w:r>
          </w:p>
        </w:tc>
        <w:tc>
          <w:tcPr>
            <w:tcW w:w="2694" w:type="dxa"/>
          </w:tcPr>
          <w:p w:rsidR="0021324A" w:rsidRPr="00950A97" w:rsidRDefault="0021324A" w:rsidP="00710F5F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t>BOLD-signal (blood-oxygenation-level-dependent signal), changes in blood flow after increased neuronal activity</w:t>
            </w:r>
          </w:p>
        </w:tc>
        <w:tc>
          <w:tcPr>
            <w:tcW w:w="2551" w:type="dxa"/>
          </w:tcPr>
          <w:p w:rsidR="0021324A" w:rsidRPr="00950A97" w:rsidRDefault="0021324A" w:rsidP="00710F5F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t>Block design studies: several seconds to minutes</w:t>
            </w:r>
          </w:p>
          <w:p w:rsidR="0021324A" w:rsidRPr="00950A97" w:rsidRDefault="0021324A" w:rsidP="00710F5F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t>Event-related studies: hundreds of milliseconds</w:t>
            </w:r>
          </w:p>
        </w:tc>
        <w:tc>
          <w:tcPr>
            <w:tcW w:w="2268" w:type="dxa"/>
          </w:tcPr>
          <w:p w:rsidR="0021324A" w:rsidRPr="00950A97" w:rsidRDefault="0021324A" w:rsidP="00710F5F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t>From several millimeters to sub-millimeter accuracy</w:t>
            </w:r>
          </w:p>
        </w:tc>
        <w:tc>
          <w:tcPr>
            <w:tcW w:w="2977" w:type="dxa"/>
          </w:tcPr>
          <w:p w:rsidR="0021324A" w:rsidRPr="00950A97" w:rsidRDefault="0021324A" w:rsidP="00710F5F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t>Some fMRI study protocols are quite well suited for design studies</w:t>
            </w:r>
          </w:p>
        </w:tc>
        <w:tc>
          <w:tcPr>
            <w:tcW w:w="2693" w:type="dxa"/>
          </w:tcPr>
          <w:p w:rsidR="0021324A" w:rsidRPr="00950A97" w:rsidRDefault="0021324A" w:rsidP="00710F5F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t>Equipment cannot be removed from the laboratory; sequence of activities is difficult to study</w:t>
            </w:r>
          </w:p>
        </w:tc>
      </w:tr>
      <w:tr w:rsidR="0021324A" w:rsidRPr="00950A97" w:rsidTr="0021324A">
        <w:tc>
          <w:tcPr>
            <w:tcW w:w="2410" w:type="dxa"/>
          </w:tcPr>
          <w:p w:rsidR="0021324A" w:rsidRDefault="0021324A" w:rsidP="00710F5F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t xml:space="preserve">EEG </w:t>
            </w:r>
          </w:p>
          <w:p w:rsidR="0021324A" w:rsidRPr="00950A97" w:rsidRDefault="0021324A" w:rsidP="00710F5F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t>(electro</w:t>
            </w: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softHyphen/>
              <w:t>encephalo</w:t>
            </w: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softHyphen/>
            </w: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softHyphen/>
              <w:t>graphy)</w:t>
            </w:r>
          </w:p>
        </w:tc>
        <w:tc>
          <w:tcPr>
            <w:tcW w:w="2694" w:type="dxa"/>
          </w:tcPr>
          <w:p w:rsidR="0021324A" w:rsidRPr="00950A97" w:rsidRDefault="0021324A" w:rsidP="00710F5F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t>Electric potentials from scalp, directly resulting from neuronal activity</w:t>
            </w:r>
          </w:p>
        </w:tc>
        <w:tc>
          <w:tcPr>
            <w:tcW w:w="2551" w:type="dxa"/>
          </w:tcPr>
          <w:p w:rsidR="0021324A" w:rsidRPr="00950A97" w:rsidRDefault="0021324A" w:rsidP="00710F5F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Less than a </w:t>
            </w: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t>millisecond</w:t>
            </w:r>
          </w:p>
        </w:tc>
        <w:tc>
          <w:tcPr>
            <w:tcW w:w="2268" w:type="dxa"/>
          </w:tcPr>
          <w:p w:rsidR="0021324A" w:rsidRPr="00950A97" w:rsidRDefault="0021324A" w:rsidP="00710F5F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t>Problematic due to distortion of electric potentials, less than 1 cm in good conditions</w:t>
            </w:r>
          </w:p>
        </w:tc>
        <w:tc>
          <w:tcPr>
            <w:tcW w:w="2977" w:type="dxa"/>
          </w:tcPr>
          <w:p w:rsidR="0021324A" w:rsidRPr="00950A97" w:rsidRDefault="0021324A" w:rsidP="00710F5F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t>Portable instruments, natural environments, some EEG study protocols are quite well suited for design studies, measurements of several hours are practically possible</w:t>
            </w:r>
          </w:p>
        </w:tc>
        <w:tc>
          <w:tcPr>
            <w:tcW w:w="2693" w:type="dxa"/>
          </w:tcPr>
          <w:p w:rsidR="0021324A" w:rsidRPr="00950A97" w:rsidRDefault="0021324A" w:rsidP="00710F5F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t>Location of brain activity is difficult to determine</w:t>
            </w:r>
          </w:p>
        </w:tc>
      </w:tr>
      <w:tr w:rsidR="0021324A" w:rsidRPr="00950A97" w:rsidTr="0021324A">
        <w:tc>
          <w:tcPr>
            <w:tcW w:w="2410" w:type="dxa"/>
          </w:tcPr>
          <w:p w:rsidR="0021324A" w:rsidRDefault="0021324A" w:rsidP="00710F5F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t xml:space="preserve">MEG </w:t>
            </w:r>
          </w:p>
          <w:p w:rsidR="0021324A" w:rsidRPr="00950A97" w:rsidRDefault="0021324A" w:rsidP="00710F5F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t>(magneto</w:t>
            </w: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softHyphen/>
              <w:t>encephalo</w:t>
            </w: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softHyphen/>
              <w:t>graphy)</w:t>
            </w:r>
          </w:p>
        </w:tc>
        <w:tc>
          <w:tcPr>
            <w:tcW w:w="2694" w:type="dxa"/>
          </w:tcPr>
          <w:p w:rsidR="0021324A" w:rsidRPr="00950A97" w:rsidRDefault="0021324A" w:rsidP="00710F5F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t>Magnetic fields outside the head, directly resulting from neuronal activity</w:t>
            </w:r>
          </w:p>
        </w:tc>
        <w:tc>
          <w:tcPr>
            <w:tcW w:w="2551" w:type="dxa"/>
          </w:tcPr>
          <w:p w:rsidR="0021324A" w:rsidRPr="00950A97" w:rsidRDefault="0021324A" w:rsidP="00710F5F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t>Less than a millisecond</w:t>
            </w:r>
          </w:p>
        </w:tc>
        <w:tc>
          <w:tcPr>
            <w:tcW w:w="2268" w:type="dxa"/>
          </w:tcPr>
          <w:p w:rsidR="0021324A" w:rsidRPr="00950A97" w:rsidRDefault="0021324A" w:rsidP="00710F5F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t>Less problematic than EEG, in good conditions clearly less than 1 cm</w:t>
            </w:r>
          </w:p>
        </w:tc>
        <w:tc>
          <w:tcPr>
            <w:tcW w:w="2977" w:type="dxa"/>
          </w:tcPr>
          <w:p w:rsidR="0021324A" w:rsidRPr="00950A97" w:rsidRDefault="0021324A" w:rsidP="00710F5F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t>Some MEG study protocols are quite well suited for design studies, long tradition of well-controlled experiments stemming from EEG, optimal time-space-resolution</w:t>
            </w:r>
          </w:p>
        </w:tc>
        <w:tc>
          <w:tcPr>
            <w:tcW w:w="2693" w:type="dxa"/>
          </w:tcPr>
          <w:p w:rsidR="0021324A" w:rsidRPr="00950A97" w:rsidRDefault="0021324A" w:rsidP="00710F5F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t>Equipment cannot be removed from the laboratory; location of brain activity is quite difficult to determine</w:t>
            </w:r>
          </w:p>
        </w:tc>
      </w:tr>
      <w:tr w:rsidR="0021324A" w:rsidRPr="00950A97" w:rsidTr="0021324A">
        <w:tc>
          <w:tcPr>
            <w:tcW w:w="2410" w:type="dxa"/>
          </w:tcPr>
          <w:p w:rsidR="0021324A" w:rsidRDefault="0021324A" w:rsidP="00710F5F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t xml:space="preserve">MRI </w:t>
            </w:r>
          </w:p>
          <w:p w:rsidR="0021324A" w:rsidRPr="00950A97" w:rsidRDefault="0021324A" w:rsidP="00710F5F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t>(magnetic resonance imaging)</w:t>
            </w:r>
          </w:p>
        </w:tc>
        <w:tc>
          <w:tcPr>
            <w:tcW w:w="2694" w:type="dxa"/>
          </w:tcPr>
          <w:p w:rsidR="0021324A" w:rsidRPr="00950A97" w:rsidRDefault="0021324A" w:rsidP="00710F5F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t>Structures of the brain (structural MRI), neural tracts (DTI, diffusion tensor imaging)</w:t>
            </w:r>
          </w:p>
        </w:tc>
        <w:tc>
          <w:tcPr>
            <w:tcW w:w="2551" w:type="dxa"/>
          </w:tcPr>
          <w:p w:rsidR="0021324A" w:rsidRPr="00950A97" w:rsidRDefault="0021324A" w:rsidP="00710F5F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t>o accuracy in time</w:t>
            </w:r>
          </w:p>
        </w:tc>
        <w:tc>
          <w:tcPr>
            <w:tcW w:w="2268" w:type="dxa"/>
          </w:tcPr>
          <w:p w:rsidR="0021324A" w:rsidRPr="00950A97" w:rsidRDefault="0021324A" w:rsidP="00710F5F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t>Less than 1 mm</w:t>
            </w:r>
          </w:p>
        </w:tc>
        <w:tc>
          <w:tcPr>
            <w:tcW w:w="2977" w:type="dxa"/>
          </w:tcPr>
          <w:p w:rsidR="0021324A" w:rsidRPr="00950A97" w:rsidRDefault="0021324A" w:rsidP="00710F5F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t>Good for studies comparing groups of people</w:t>
            </w:r>
          </w:p>
        </w:tc>
        <w:tc>
          <w:tcPr>
            <w:tcW w:w="2693" w:type="dxa"/>
          </w:tcPr>
          <w:p w:rsidR="0021324A" w:rsidRPr="00950A97" w:rsidRDefault="0021324A" w:rsidP="00710F5F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t>Equipment cannot be removed from the laboratory</w:t>
            </w:r>
          </w:p>
        </w:tc>
      </w:tr>
      <w:tr w:rsidR="0021324A" w:rsidRPr="00950A97" w:rsidTr="0021324A">
        <w:tc>
          <w:tcPr>
            <w:tcW w:w="2410" w:type="dxa"/>
          </w:tcPr>
          <w:p w:rsidR="0021324A" w:rsidRDefault="0021324A" w:rsidP="00710F5F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t xml:space="preserve">PET </w:t>
            </w:r>
          </w:p>
          <w:p w:rsidR="0021324A" w:rsidRPr="00950A97" w:rsidRDefault="0021324A" w:rsidP="00710F5F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t>(positron emission tomography)</w:t>
            </w:r>
          </w:p>
        </w:tc>
        <w:tc>
          <w:tcPr>
            <w:tcW w:w="2694" w:type="dxa"/>
          </w:tcPr>
          <w:p w:rsidR="0021324A" w:rsidRPr="00950A97" w:rsidRDefault="0021324A" w:rsidP="00710F5F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t>Structural image of concentration of metabolically active tracer, usually oxygen</w:t>
            </w:r>
          </w:p>
        </w:tc>
        <w:tc>
          <w:tcPr>
            <w:tcW w:w="2551" w:type="dxa"/>
          </w:tcPr>
          <w:p w:rsidR="0021324A" w:rsidRPr="00950A97" w:rsidRDefault="0021324A" w:rsidP="00710F5F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t>Contrast of two conditions: no accuracy in time</w:t>
            </w:r>
          </w:p>
        </w:tc>
        <w:tc>
          <w:tcPr>
            <w:tcW w:w="2268" w:type="dxa"/>
          </w:tcPr>
          <w:p w:rsidR="0021324A" w:rsidRPr="00950A97" w:rsidRDefault="0021324A" w:rsidP="00710F5F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t>Less than 1 cm</w:t>
            </w:r>
          </w:p>
        </w:tc>
        <w:tc>
          <w:tcPr>
            <w:tcW w:w="2977" w:type="dxa"/>
          </w:tcPr>
          <w:p w:rsidR="0021324A" w:rsidRPr="00950A97" w:rsidRDefault="0021324A" w:rsidP="00710F5F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t>Good for comparing groups of people or natural tasks</w:t>
            </w:r>
          </w:p>
        </w:tc>
        <w:tc>
          <w:tcPr>
            <w:tcW w:w="2693" w:type="dxa"/>
          </w:tcPr>
          <w:p w:rsidR="0021324A" w:rsidRPr="00950A97" w:rsidRDefault="0021324A" w:rsidP="00710F5F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t>Radioactive tracer is injected into participants; equipment cannot be removed from the laboratory</w:t>
            </w:r>
          </w:p>
        </w:tc>
      </w:tr>
      <w:tr w:rsidR="0021324A" w:rsidRPr="00950A97" w:rsidTr="0021324A">
        <w:tc>
          <w:tcPr>
            <w:tcW w:w="2410" w:type="dxa"/>
          </w:tcPr>
          <w:p w:rsidR="0021324A" w:rsidRDefault="0021324A" w:rsidP="00710F5F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t xml:space="preserve">NIRS </w:t>
            </w:r>
          </w:p>
          <w:p w:rsidR="0021324A" w:rsidRPr="00950A97" w:rsidRDefault="0021324A" w:rsidP="00710F5F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t>(near-infra-red spectroscopy)</w:t>
            </w:r>
          </w:p>
        </w:tc>
        <w:tc>
          <w:tcPr>
            <w:tcW w:w="2694" w:type="dxa"/>
          </w:tcPr>
          <w:p w:rsidR="0021324A" w:rsidRPr="00950A97" w:rsidRDefault="0021324A" w:rsidP="00710F5F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t>Diffusion and absorption of near-infra-red light in tissues, depending on hemodynamic and electromagnetic changes in brain tissue</w:t>
            </w:r>
          </w:p>
        </w:tc>
        <w:tc>
          <w:tcPr>
            <w:tcW w:w="2551" w:type="dxa"/>
          </w:tcPr>
          <w:p w:rsidR="0021324A" w:rsidRPr="00950A97" w:rsidRDefault="0021324A" w:rsidP="00710F5F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t>hemodynamic NIRS: hundreds of milliseconds, electromagnetic NIRS: millisecond (according to some researchers)</w:t>
            </w:r>
          </w:p>
        </w:tc>
        <w:tc>
          <w:tcPr>
            <w:tcW w:w="2268" w:type="dxa"/>
          </w:tcPr>
          <w:p w:rsidR="0021324A" w:rsidRPr="00950A97" w:rsidRDefault="0021324A" w:rsidP="00710F5F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t>Theoretically less than 1 cm</w:t>
            </w:r>
          </w:p>
        </w:tc>
        <w:tc>
          <w:tcPr>
            <w:tcW w:w="2977" w:type="dxa"/>
          </w:tcPr>
          <w:p w:rsidR="0021324A" w:rsidRPr="00950A97" w:rsidRDefault="0021324A" w:rsidP="00710F5F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t>Portable instruments, natural environments, some NIRS study protocols are quite well suited for design studies, measurements of several hours are practically possible</w:t>
            </w:r>
          </w:p>
        </w:tc>
        <w:tc>
          <w:tcPr>
            <w:tcW w:w="2693" w:type="dxa"/>
          </w:tcPr>
          <w:p w:rsidR="0021324A" w:rsidRPr="00950A97" w:rsidRDefault="0021324A" w:rsidP="00710F5F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0A97">
              <w:rPr>
                <w:rFonts w:ascii="Arial" w:hAnsi="Arial" w:cs="Arial"/>
                <w:sz w:val="20"/>
                <w:szCs w:val="20"/>
                <w:lang w:val="en-US"/>
              </w:rPr>
              <w:t>Difficulties in determining the location of brain activity, not many groups yet using NIRS for cognitive studies</w:t>
            </w:r>
          </w:p>
        </w:tc>
      </w:tr>
    </w:tbl>
    <w:p w:rsidR="0021324A" w:rsidRPr="00950A97" w:rsidRDefault="0021324A">
      <w:pPr>
        <w:rPr>
          <w:lang w:val="nb-NO"/>
        </w:rPr>
      </w:pPr>
      <w:bookmarkStart w:id="0" w:name="_GoBack"/>
      <w:bookmarkEnd w:id="0"/>
    </w:p>
    <w:sectPr w:rsidR="0021324A" w:rsidRPr="00950A97" w:rsidSect="00950A97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97"/>
    <w:rsid w:val="000012E9"/>
    <w:rsid w:val="00036A35"/>
    <w:rsid w:val="000B0A82"/>
    <w:rsid w:val="000B0E81"/>
    <w:rsid w:val="000D4220"/>
    <w:rsid w:val="000E5746"/>
    <w:rsid w:val="000E7550"/>
    <w:rsid w:val="0010195C"/>
    <w:rsid w:val="00137EE3"/>
    <w:rsid w:val="00182091"/>
    <w:rsid w:val="001B6D70"/>
    <w:rsid w:val="001F03B1"/>
    <w:rsid w:val="00211DA5"/>
    <w:rsid w:val="0021324A"/>
    <w:rsid w:val="0024598C"/>
    <w:rsid w:val="00253B17"/>
    <w:rsid w:val="0027109A"/>
    <w:rsid w:val="0028625C"/>
    <w:rsid w:val="002866C1"/>
    <w:rsid w:val="00295FC6"/>
    <w:rsid w:val="002A3609"/>
    <w:rsid w:val="002D3655"/>
    <w:rsid w:val="00307975"/>
    <w:rsid w:val="003123B9"/>
    <w:rsid w:val="00317723"/>
    <w:rsid w:val="00326ADD"/>
    <w:rsid w:val="003370CF"/>
    <w:rsid w:val="003518E8"/>
    <w:rsid w:val="003524A5"/>
    <w:rsid w:val="00354AB5"/>
    <w:rsid w:val="003F25CE"/>
    <w:rsid w:val="003F3298"/>
    <w:rsid w:val="00405F8C"/>
    <w:rsid w:val="00406098"/>
    <w:rsid w:val="00411FAE"/>
    <w:rsid w:val="004141D1"/>
    <w:rsid w:val="00423B0D"/>
    <w:rsid w:val="00441900"/>
    <w:rsid w:val="00461D40"/>
    <w:rsid w:val="004662A5"/>
    <w:rsid w:val="00495FFB"/>
    <w:rsid w:val="004B3951"/>
    <w:rsid w:val="004C7179"/>
    <w:rsid w:val="004D7D25"/>
    <w:rsid w:val="004E79FD"/>
    <w:rsid w:val="004F5A40"/>
    <w:rsid w:val="005008A5"/>
    <w:rsid w:val="00505B75"/>
    <w:rsid w:val="00514F29"/>
    <w:rsid w:val="0052151B"/>
    <w:rsid w:val="00537492"/>
    <w:rsid w:val="00542AF3"/>
    <w:rsid w:val="00565F9C"/>
    <w:rsid w:val="005C2132"/>
    <w:rsid w:val="005D3021"/>
    <w:rsid w:val="0061626F"/>
    <w:rsid w:val="00665C20"/>
    <w:rsid w:val="006E0AB5"/>
    <w:rsid w:val="006E2557"/>
    <w:rsid w:val="006E693C"/>
    <w:rsid w:val="006E7604"/>
    <w:rsid w:val="007056D6"/>
    <w:rsid w:val="00720CB2"/>
    <w:rsid w:val="00725F46"/>
    <w:rsid w:val="007366D7"/>
    <w:rsid w:val="00754671"/>
    <w:rsid w:val="00754A9E"/>
    <w:rsid w:val="007632C8"/>
    <w:rsid w:val="00771850"/>
    <w:rsid w:val="00792B70"/>
    <w:rsid w:val="0079742D"/>
    <w:rsid w:val="007A1606"/>
    <w:rsid w:val="007A4023"/>
    <w:rsid w:val="007B2494"/>
    <w:rsid w:val="007B5DDC"/>
    <w:rsid w:val="007B7854"/>
    <w:rsid w:val="007E0458"/>
    <w:rsid w:val="007F55EF"/>
    <w:rsid w:val="00801AD5"/>
    <w:rsid w:val="0080224F"/>
    <w:rsid w:val="008156AA"/>
    <w:rsid w:val="0082221E"/>
    <w:rsid w:val="008424FA"/>
    <w:rsid w:val="00845524"/>
    <w:rsid w:val="00861CED"/>
    <w:rsid w:val="008909B0"/>
    <w:rsid w:val="00891B4A"/>
    <w:rsid w:val="00894EDE"/>
    <w:rsid w:val="008C7418"/>
    <w:rsid w:val="008D5694"/>
    <w:rsid w:val="008E117A"/>
    <w:rsid w:val="008F55EE"/>
    <w:rsid w:val="009025FD"/>
    <w:rsid w:val="00904DBD"/>
    <w:rsid w:val="00913FA7"/>
    <w:rsid w:val="009156D3"/>
    <w:rsid w:val="009249A7"/>
    <w:rsid w:val="00936BA6"/>
    <w:rsid w:val="00950A97"/>
    <w:rsid w:val="00960BCC"/>
    <w:rsid w:val="009B7BA4"/>
    <w:rsid w:val="009D35F1"/>
    <w:rsid w:val="009F0F12"/>
    <w:rsid w:val="00A350BB"/>
    <w:rsid w:val="00A5318A"/>
    <w:rsid w:val="00A56E34"/>
    <w:rsid w:val="00A622F5"/>
    <w:rsid w:val="00A70CD6"/>
    <w:rsid w:val="00A77C04"/>
    <w:rsid w:val="00A8371C"/>
    <w:rsid w:val="00AB670F"/>
    <w:rsid w:val="00AC2CE5"/>
    <w:rsid w:val="00AC3FF9"/>
    <w:rsid w:val="00AC7777"/>
    <w:rsid w:val="00AD2D77"/>
    <w:rsid w:val="00AF2CF0"/>
    <w:rsid w:val="00AF3B46"/>
    <w:rsid w:val="00B061BB"/>
    <w:rsid w:val="00B07FF5"/>
    <w:rsid w:val="00B10B98"/>
    <w:rsid w:val="00B225EB"/>
    <w:rsid w:val="00B40EF7"/>
    <w:rsid w:val="00B457B7"/>
    <w:rsid w:val="00B80289"/>
    <w:rsid w:val="00BB2526"/>
    <w:rsid w:val="00BB7549"/>
    <w:rsid w:val="00BC164F"/>
    <w:rsid w:val="00BC3367"/>
    <w:rsid w:val="00BD4BAF"/>
    <w:rsid w:val="00C149F9"/>
    <w:rsid w:val="00C21662"/>
    <w:rsid w:val="00C43AC8"/>
    <w:rsid w:val="00CC178A"/>
    <w:rsid w:val="00CD37ED"/>
    <w:rsid w:val="00CE55A4"/>
    <w:rsid w:val="00D02204"/>
    <w:rsid w:val="00D126D7"/>
    <w:rsid w:val="00D22F71"/>
    <w:rsid w:val="00D517E6"/>
    <w:rsid w:val="00D5701C"/>
    <w:rsid w:val="00D928DF"/>
    <w:rsid w:val="00DC15E0"/>
    <w:rsid w:val="00DD6E4B"/>
    <w:rsid w:val="00DF4291"/>
    <w:rsid w:val="00E068E1"/>
    <w:rsid w:val="00E21FE8"/>
    <w:rsid w:val="00E26EF3"/>
    <w:rsid w:val="00E574B3"/>
    <w:rsid w:val="00E72187"/>
    <w:rsid w:val="00E8045E"/>
    <w:rsid w:val="00EB50F3"/>
    <w:rsid w:val="00F0453D"/>
    <w:rsid w:val="00F06A28"/>
    <w:rsid w:val="00F300A3"/>
    <w:rsid w:val="00F37A16"/>
    <w:rsid w:val="00F439A6"/>
    <w:rsid w:val="00F62EC0"/>
    <w:rsid w:val="00F638E1"/>
    <w:rsid w:val="00FC5BAB"/>
    <w:rsid w:val="00FF7247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99C49-6488-4AB7-BF4E-51AEE5A3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link w:val="AbstractTegn"/>
    <w:qFormat/>
    <w:rsid w:val="00253B17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val="en-GB" w:eastAsia="nb-NO"/>
    </w:rPr>
  </w:style>
  <w:style w:type="character" w:customStyle="1" w:styleId="AbstractTegn">
    <w:name w:val="Abstract Tegn"/>
    <w:link w:val="Abstract"/>
    <w:rsid w:val="00253B17"/>
    <w:rPr>
      <w:rFonts w:ascii="Times New Roman" w:eastAsia="Times New Roman" w:hAnsi="Times New Roman" w:cs="Times New Roman"/>
      <w:i/>
      <w:sz w:val="24"/>
      <w:szCs w:val="24"/>
      <w:lang w:val="en-GB" w:eastAsia="nb-NO"/>
    </w:rPr>
  </w:style>
  <w:style w:type="table" w:styleId="TableGrid">
    <w:name w:val="Table Grid"/>
    <w:basedOn w:val="TableNormal"/>
    <w:uiPriority w:val="59"/>
    <w:rsid w:val="0095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Seitamaa-Hakkarainen, Satu Pirita</dc:creator>
  <cp:keywords/>
  <dc:description/>
  <cp:lastModifiedBy>Seitamaa-Hakkarainen, Satu Pirita</cp:lastModifiedBy>
  <cp:revision>1</cp:revision>
  <dcterms:created xsi:type="dcterms:W3CDTF">2015-09-27T09:30:00Z</dcterms:created>
  <dcterms:modified xsi:type="dcterms:W3CDTF">2015-09-27T10:06:00Z</dcterms:modified>
</cp:coreProperties>
</file>